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DE4" w:rsidRDefault="00877DE4" w:rsidP="009C5263"/>
    <w:p w:rsidR="00877DE4" w:rsidRDefault="00877DE4" w:rsidP="009C5263"/>
    <w:p w:rsidR="00877DE4" w:rsidRDefault="00877DE4" w:rsidP="009C5263"/>
    <w:p w:rsidR="00877DE4" w:rsidRDefault="00877DE4" w:rsidP="009C5263"/>
    <w:p w:rsidR="00877DE4" w:rsidRPr="00877DE4" w:rsidRDefault="00877DE4" w:rsidP="009C5263">
      <w:pPr>
        <w:rPr>
          <w:b/>
        </w:rPr>
      </w:pPr>
    </w:p>
    <w:p w:rsidR="00877DE4" w:rsidRPr="00877DE4" w:rsidRDefault="00877DE4" w:rsidP="00877DE4">
      <w:pPr>
        <w:jc w:val="center"/>
        <w:rPr>
          <w:b/>
        </w:rPr>
      </w:pPr>
      <w:r w:rsidRPr="00877DE4">
        <w:rPr>
          <w:b/>
        </w:rPr>
        <w:t>Comparison between Secularism and Religion in Women</w:t>
      </w:r>
    </w:p>
    <w:p w:rsidR="00877DE4" w:rsidRPr="00877DE4" w:rsidRDefault="00877DE4" w:rsidP="00877DE4">
      <w:pPr>
        <w:jc w:val="center"/>
        <w:rPr>
          <w:b/>
        </w:rPr>
      </w:pPr>
      <w:r w:rsidRPr="00877DE4">
        <w:rPr>
          <w:b/>
        </w:rPr>
        <w:t>Name</w:t>
      </w:r>
    </w:p>
    <w:p w:rsidR="00877DE4" w:rsidRPr="00877DE4" w:rsidRDefault="00877DE4" w:rsidP="00877DE4">
      <w:pPr>
        <w:jc w:val="center"/>
        <w:rPr>
          <w:b/>
        </w:rPr>
      </w:pPr>
      <w:r w:rsidRPr="00877DE4">
        <w:rPr>
          <w:b/>
        </w:rPr>
        <w:t>Student ID</w:t>
      </w:r>
    </w:p>
    <w:p w:rsidR="00877DE4" w:rsidRPr="00877DE4" w:rsidRDefault="00877DE4" w:rsidP="00877DE4">
      <w:pPr>
        <w:jc w:val="center"/>
        <w:rPr>
          <w:b/>
        </w:rPr>
      </w:pPr>
      <w:r w:rsidRPr="00877DE4">
        <w:rPr>
          <w:b/>
        </w:rPr>
        <w:t>Course</w:t>
      </w:r>
    </w:p>
    <w:p w:rsidR="00877DE4" w:rsidRPr="00877DE4" w:rsidRDefault="00877DE4" w:rsidP="00877DE4">
      <w:pPr>
        <w:jc w:val="center"/>
        <w:rPr>
          <w:b/>
        </w:rPr>
      </w:pPr>
      <w:r w:rsidRPr="00877DE4">
        <w:rPr>
          <w:b/>
        </w:rPr>
        <w:t>Date</w:t>
      </w:r>
    </w:p>
    <w:p w:rsidR="00877DE4" w:rsidRPr="00877DE4" w:rsidRDefault="00877DE4" w:rsidP="00877DE4">
      <w:pPr>
        <w:jc w:val="center"/>
        <w:rPr>
          <w:b/>
        </w:rPr>
      </w:pPr>
      <w:r w:rsidRPr="00877DE4">
        <w:rPr>
          <w:b/>
        </w:rPr>
        <w:t xml:space="preserve">Institutional Affiliation </w:t>
      </w:r>
    </w:p>
    <w:p w:rsidR="00877DE4" w:rsidRDefault="00877DE4" w:rsidP="009C5263"/>
    <w:p w:rsidR="00021C3D" w:rsidRDefault="00877DE4" w:rsidP="009C5263">
      <w:r>
        <w:t xml:space="preserve"> </w:t>
      </w:r>
      <w:r w:rsidR="009C5263">
        <w:t xml:space="preserve">   </w:t>
      </w:r>
      <w:r w:rsidR="009C5263">
        <w:tab/>
      </w:r>
    </w:p>
    <w:p w:rsidR="00021C3D" w:rsidRDefault="00021C3D" w:rsidP="009C5263"/>
    <w:p w:rsidR="00021C3D" w:rsidRDefault="00021C3D" w:rsidP="009C5263"/>
    <w:p w:rsidR="00021C3D" w:rsidRDefault="00021C3D" w:rsidP="009C5263"/>
    <w:p w:rsidR="00021C3D" w:rsidRDefault="00021C3D" w:rsidP="009C5263"/>
    <w:p w:rsidR="00021C3D" w:rsidRDefault="00021C3D" w:rsidP="009C5263"/>
    <w:p w:rsidR="00021C3D" w:rsidRDefault="00021C3D" w:rsidP="009C5263"/>
    <w:p w:rsidR="00021C3D" w:rsidRDefault="00021C3D" w:rsidP="009C5263"/>
    <w:p w:rsidR="00021C3D" w:rsidRDefault="00021C3D" w:rsidP="009C5263"/>
    <w:p w:rsidR="00877DE4" w:rsidRDefault="00877DE4" w:rsidP="00877DE4"/>
    <w:p w:rsidR="00BD2D7B" w:rsidRDefault="00BD2D7B" w:rsidP="00444D44"/>
    <w:p w:rsidR="00BD2D7B" w:rsidRPr="00BD2D7B" w:rsidRDefault="00BD2D7B" w:rsidP="00BD2D7B">
      <w:pPr>
        <w:jc w:val="center"/>
        <w:rPr>
          <w:b/>
        </w:rPr>
      </w:pPr>
      <w:r w:rsidRPr="00877DE4">
        <w:rPr>
          <w:b/>
        </w:rPr>
        <w:lastRenderedPageBreak/>
        <w:t>Comparison between Secularism and Religion in Women</w:t>
      </w:r>
    </w:p>
    <w:p w:rsidR="00444D44" w:rsidRDefault="00444D44" w:rsidP="00BD2D7B">
      <w:pPr>
        <w:ind w:firstLine="720"/>
      </w:pPr>
      <w:r>
        <w:t>Secular nationalism has its traces from the 19th century while women in religious discourses are authenticated to rise as from the 20th century.  This paper is written to purposely compare the actual difference between women in secular nationalism to those in religious discourse, particularly in the Middle East and how they interact. Research has come up with various assumptions that authentically differentiate the two parties (secular and religious women) diversely. In the Middle East (Yemen, Egypt, Saudi Arabia, e.t.c) societies where religion is embraced fully, the status of women tends to lower, leading to the subsequent diminishing of their respective powers (Thompson, 2006). The options and views of women towards a career, education, family, personal style, politics, sports, and reproduction adversely narrows due to the religious “ethical” constraints and in the process; the two groups of women arise ( Secular and religious women). The like-minded women embrace secular feminism while the other group remains content with the stipulated religious doctrines.</w:t>
      </w:r>
    </w:p>
    <w:p w:rsidR="00444D44" w:rsidRDefault="00444D44" w:rsidP="00BD2D7B">
      <w:pPr>
        <w:ind w:firstLine="720"/>
      </w:pPr>
      <w:r>
        <w:t xml:space="preserve">On the other hand, the women that embrace secular nationalism fight for their equality and statuses thence are actualizing their powers that according to them seem to be diminished by “Religion Ethics.” Notably, women who embrace secularism clearly understand their obligations and above all; the actual difference between humanity and modern slavery. There are cases whereby most have been subjected to modern mind-slavery, just for the sake of following the religious doctrines. </w:t>
      </w:r>
    </w:p>
    <w:p w:rsidR="00444D44" w:rsidRDefault="00444D44" w:rsidP="00444D44">
      <w:r>
        <w:t xml:space="preserve">        Considering the recent statistics of the United Nations (UN); “The Human Development and Gender Inequality Index Report of 2017”, societies with the highest inequality levels in the world are from the Middle East. The countries include; Syria, Palestine, Yemen, and Oman. In </w:t>
      </w:r>
      <w:r>
        <w:lastRenderedPageBreak/>
        <w:t xml:space="preserve">this case, it is clear that education and general socialization has a significant impact on the realization of individual obligations and rights (Crockett &amp; Voas, 2006). </w:t>
      </w:r>
    </w:p>
    <w:p w:rsidR="00444D44" w:rsidRDefault="00444D44" w:rsidP="00444D44">
      <w:r>
        <w:t xml:space="preserve">        Correctly in the United States, being secular translates or denotes into a more profound likelihood of pioneering for women rights. Throughout the millennium, research authentically reveals that secular women are more supportive of gender equality as compared to religious women. Secular women are less enthusiastic in endorsing traditional and backward views that concern women. It is prudent to note that religious women adversely overemphasize the role of women as it regards to the bible thence abandoning to fight for their legal rights thence rendering themselves to modern slavery. On the same note, secular nationalism was forcefully promulgated among women in the Soviet States during the Second World War. In other words, in the Second World War women were forcibly introduced to tasks that previously had an affiliation to men. For instance, in Russia and France, women took new responsibilities of driving war trucks, repairing airplanes, nursing wounded soldiers, and even involving themselves in the real war. Therefore in the process, secularism advanced thence embracing gender equality.</w:t>
      </w:r>
    </w:p>
    <w:p w:rsidR="00444D44" w:rsidRDefault="00444D44" w:rsidP="00444D44">
      <w:r>
        <w:t xml:space="preserve">        Notably, secularism tends to enhance women empowerment when compared to religion. Critically, over the years; religious devout has been observed to hindering women’s roles, choices, and their subsequent powers. For instance; in Hasidic Judaism, in fact, women cannot be rabbis. Ridiculously, according to the customs of the Judaists; women cannot get a divorce without unambiguous compliance and acknowledgment of their husbands. In this case, this is clear proof that religious women are bound and subject to destructive and unethical acts that need to be unheard of in this 21st century (Salih, 2009). On the other hand, liberal or secularized Judaism, women have an obligation of becoming rabbis, and above all; they can at least get a divorce. In this case, religious women have to make an effort and understand the exact reasons as </w:t>
      </w:r>
      <w:r>
        <w:lastRenderedPageBreak/>
        <w:t xml:space="preserve">to why they cannot be rabbis as men. Through this understanding, religious women can realize their respective duties thence fighting for their rights and equality in society concerning gender. </w:t>
      </w:r>
    </w:p>
    <w:p w:rsidR="00444D44" w:rsidRDefault="00444D44" w:rsidP="00444D44">
      <w:r>
        <w:t xml:space="preserve">        Moreover, women from Devout Mormon get commands to stay at home. In other words, Devout Mormon women do not work outside their homesteads. Realistically, it is not practical that there are women who cannot work get out and work, tentatively depending on their husbands to carter for even their basic needs. Also, Mormon women have no obligation to driving cars. It is quite worrying and sarcastic to an extent, in that; up to this century, some women cannot explore their rights just because of religion. Contrary, the less devout Mormon women who in this case are considered to embrace secularism; have greater choices and freedom precisely on the way that they want to lead their lives. Therefore, it is quite prudent to note that by women embracing religion, they are exposing themselves to a clerical undermining of their fundamental rights. </w:t>
      </w:r>
    </w:p>
    <w:p w:rsidR="00444D44" w:rsidRDefault="00444D44" w:rsidP="00444D44">
      <w:r>
        <w:t xml:space="preserve">        Similarly, Fundamentalism Islam articulates that women need not to use birth control methods. Practically, the single-mothers tend to feel the real intensity and weight of this rule. It is clear that regardless of women being single mothers, having conjugal is mandatory, referring to the individual’s perspective. In this case, women who are fundamentalists can give birth to unnecessary toddlers thence not able to take adamant care on them. On the other hand, secularized Muslim women autonomously enjoy legal rights over their bodies thence making thoughtful decisions on when and when not to reproduce (Beekers, 2014). Further, religious women need to understand and rethink about their actual positions in the real line of religion. </w:t>
      </w:r>
    </w:p>
    <w:p w:rsidR="00444D44" w:rsidRDefault="00444D44" w:rsidP="00444D44">
      <w:r>
        <w:t xml:space="preserve">        Equally according to the Bible (Deuteronomy 22: 20-21), it is quite clear that women are even subjected to death in cases whereby they lose their virginity. Both Christianity and Judaism, embrace the notion that women who break their virginity need to stoned by men. Therefore, </w:t>
      </w:r>
      <w:r>
        <w:lastRenderedPageBreak/>
        <w:t>women in religion have great fear concerning breaking their virginity. On the same note, the bible denotes that for women to be obedient, they have to obedient to their husbands and men in general and guarding their homesteads in case their husbands are not around. Also, the Quran (Sura 4: 34) articulates that men need to stop their conjugal rights with arrogant women (Guia, 2014).</w:t>
      </w:r>
    </w:p>
    <w:p w:rsidR="00444D44" w:rsidRDefault="00444D44" w:rsidP="00444D44">
      <w:r>
        <w:t xml:space="preserve">On the other hand, secularism under the Universal Declaration of Human Rights, Article 1 denotes in fact that holistically human beings are authentically born equal and entirely free in rights and dignity. Secularism farther embraces that fact that everyone is mutually entitled to all the freedoms and rights without distinction, whatsoever. Therefore, it is circumspect to note Abrahamic faiths acts as a window to inherent misogyny. </w:t>
      </w:r>
    </w:p>
    <w:p w:rsidR="00444D44" w:rsidRDefault="00444D44" w:rsidP="00444D44">
      <w:r>
        <w:t xml:space="preserve">        In conclusion, regardless of religion acknowledging gender equality; to some extent, the fact remains that the statuses of women, wealth, power, and life choices are undermined in the Middle East. Contrary, the women that embrace secular nationalism tend to enjoy epitome privileges as men. Also, secular women are most likely to support gender equality rights comparing them to religious women. In other words, within diverse religions in the Middle East and their respective traditions; restrictiveness and oppression for women are observed. The scriptures of modern world religions explicitly contain misogynistic expressions that are misinterpreted thence leading to the observed inequalities. Therefore, there is a need for women, particularly in the Middle East to harmonize and advocate for their rights. </w:t>
      </w:r>
    </w:p>
    <w:p w:rsidR="00444D44" w:rsidRDefault="00444D44" w:rsidP="00444D44"/>
    <w:p w:rsidR="004E6237" w:rsidRDefault="004E6237" w:rsidP="009C5263"/>
    <w:p w:rsidR="004E6237" w:rsidRDefault="004E6237" w:rsidP="009C5263"/>
    <w:p w:rsidR="004E6237" w:rsidRDefault="004E6237" w:rsidP="009C5263"/>
    <w:p w:rsidR="004E6237" w:rsidRDefault="004E6237" w:rsidP="009C5263"/>
    <w:p w:rsidR="004E6237" w:rsidRDefault="004E6237" w:rsidP="009C5263"/>
    <w:p w:rsidR="004E6237" w:rsidRDefault="004E6237" w:rsidP="004E6237">
      <w:pPr>
        <w:ind w:left="1440" w:hanging="720"/>
        <w:contextualSpacing/>
        <w:jc w:val="center"/>
      </w:pPr>
      <w:r>
        <w:t>References</w:t>
      </w:r>
    </w:p>
    <w:p w:rsidR="004E6237" w:rsidRPr="004E6237" w:rsidRDefault="004E6237" w:rsidP="004E6237">
      <w:pPr>
        <w:ind w:left="1440" w:hanging="720"/>
        <w:contextualSpacing/>
        <w:rPr>
          <w:rFonts w:eastAsia="Times New Roman" w:cs="Times New Roman"/>
          <w:szCs w:val="24"/>
        </w:rPr>
      </w:pPr>
      <w:r w:rsidRPr="004E6237">
        <w:rPr>
          <w:rFonts w:eastAsia="Times New Roman" w:cs="Times New Roman"/>
          <w:szCs w:val="24"/>
        </w:rPr>
        <w:t xml:space="preserve">Beekers, D. (2014). Pedagogies of piety: Comparing young observant Muslims and Christians in the Netherlands. </w:t>
      </w:r>
      <w:r w:rsidRPr="004E6237">
        <w:rPr>
          <w:rFonts w:eastAsia="Times New Roman" w:cs="Times New Roman"/>
          <w:i/>
          <w:iCs/>
          <w:szCs w:val="24"/>
        </w:rPr>
        <w:t>Culture and Religion</w:t>
      </w:r>
      <w:r w:rsidRPr="004E6237">
        <w:rPr>
          <w:rFonts w:eastAsia="Times New Roman" w:cs="Times New Roman"/>
          <w:szCs w:val="24"/>
        </w:rPr>
        <w:t xml:space="preserve">, </w:t>
      </w:r>
      <w:r w:rsidRPr="004E6237">
        <w:rPr>
          <w:rFonts w:eastAsia="Times New Roman" w:cs="Times New Roman"/>
          <w:i/>
          <w:iCs/>
          <w:szCs w:val="24"/>
        </w:rPr>
        <w:t>15</w:t>
      </w:r>
      <w:r w:rsidRPr="004E6237">
        <w:rPr>
          <w:rFonts w:eastAsia="Times New Roman" w:cs="Times New Roman"/>
          <w:szCs w:val="24"/>
        </w:rPr>
        <w:t>(1), 72-99.</w:t>
      </w:r>
    </w:p>
    <w:p w:rsidR="004E6237" w:rsidRDefault="004E6237" w:rsidP="004E6237">
      <w:pPr>
        <w:ind w:left="1440" w:hanging="720"/>
        <w:contextualSpacing/>
        <w:rPr>
          <w:rFonts w:eastAsia="Times New Roman" w:cs="Times New Roman"/>
          <w:szCs w:val="24"/>
        </w:rPr>
      </w:pPr>
      <w:r w:rsidRPr="004E6237">
        <w:rPr>
          <w:rFonts w:eastAsia="Times New Roman" w:cs="Times New Roman"/>
          <w:szCs w:val="24"/>
        </w:rPr>
        <w:t xml:space="preserve">Crockett, A., &amp; Voas, D. (2006). Generations of decline: Religious change in 20th‐century Britain. </w:t>
      </w:r>
      <w:r w:rsidRPr="004E6237">
        <w:rPr>
          <w:rFonts w:eastAsia="Times New Roman" w:cs="Times New Roman"/>
          <w:i/>
          <w:iCs/>
          <w:szCs w:val="24"/>
        </w:rPr>
        <w:t>Journal for the scientific study of religion</w:t>
      </w:r>
      <w:r w:rsidRPr="004E6237">
        <w:rPr>
          <w:rFonts w:eastAsia="Times New Roman" w:cs="Times New Roman"/>
          <w:szCs w:val="24"/>
        </w:rPr>
        <w:t xml:space="preserve">, </w:t>
      </w:r>
      <w:r w:rsidRPr="004E6237">
        <w:rPr>
          <w:rFonts w:eastAsia="Times New Roman" w:cs="Times New Roman"/>
          <w:i/>
          <w:iCs/>
          <w:szCs w:val="24"/>
        </w:rPr>
        <w:t>45</w:t>
      </w:r>
      <w:r w:rsidRPr="004E6237">
        <w:rPr>
          <w:rFonts w:eastAsia="Times New Roman" w:cs="Times New Roman"/>
          <w:szCs w:val="24"/>
        </w:rPr>
        <w:t>(4), 567-584.</w:t>
      </w:r>
    </w:p>
    <w:p w:rsidR="004E6237" w:rsidRDefault="004E6237" w:rsidP="004E6237">
      <w:pPr>
        <w:ind w:left="1440" w:hanging="720"/>
        <w:contextualSpacing/>
        <w:rPr>
          <w:rFonts w:eastAsia="Times New Roman" w:cs="Times New Roman"/>
          <w:szCs w:val="24"/>
        </w:rPr>
      </w:pPr>
      <w:r w:rsidRPr="004E6237">
        <w:rPr>
          <w:rFonts w:eastAsia="Times New Roman" w:cs="Times New Roman"/>
          <w:szCs w:val="24"/>
        </w:rPr>
        <w:t xml:space="preserve">Guia, A. (2014). </w:t>
      </w:r>
      <w:r w:rsidRPr="004E6237">
        <w:rPr>
          <w:rFonts w:eastAsia="Times New Roman" w:cs="Times New Roman"/>
          <w:i/>
          <w:iCs/>
          <w:szCs w:val="24"/>
        </w:rPr>
        <w:t>The Muslim struggle for civil rights in Spain, 1985–2010: Promoting democracy through Islamic engagement</w:t>
      </w:r>
      <w:r w:rsidRPr="004E6237">
        <w:rPr>
          <w:rFonts w:eastAsia="Times New Roman" w:cs="Times New Roman"/>
          <w:szCs w:val="24"/>
        </w:rPr>
        <w:t>. Sussex Academic Press.</w:t>
      </w:r>
    </w:p>
    <w:p w:rsidR="004E6237" w:rsidRPr="004E6237" w:rsidRDefault="004E6237" w:rsidP="004E6237">
      <w:pPr>
        <w:ind w:left="1440" w:hanging="720"/>
        <w:contextualSpacing/>
        <w:rPr>
          <w:rFonts w:eastAsia="Times New Roman" w:cs="Times New Roman"/>
          <w:szCs w:val="24"/>
        </w:rPr>
      </w:pPr>
      <w:r w:rsidRPr="004E6237">
        <w:rPr>
          <w:rFonts w:eastAsia="Times New Roman" w:cs="Times New Roman"/>
          <w:szCs w:val="24"/>
        </w:rPr>
        <w:t xml:space="preserve">Salih, R. (2009). Muslim women, fragmented secularism and the construction of interconnected ‘publics’ in Italy. </w:t>
      </w:r>
      <w:r w:rsidRPr="004E6237">
        <w:rPr>
          <w:rFonts w:eastAsia="Times New Roman" w:cs="Times New Roman"/>
          <w:i/>
          <w:iCs/>
          <w:szCs w:val="24"/>
        </w:rPr>
        <w:t>Social Anthropology</w:t>
      </w:r>
      <w:r w:rsidRPr="004E6237">
        <w:rPr>
          <w:rFonts w:eastAsia="Times New Roman" w:cs="Times New Roman"/>
          <w:szCs w:val="24"/>
        </w:rPr>
        <w:t xml:space="preserve">, </w:t>
      </w:r>
      <w:r w:rsidRPr="004E6237">
        <w:rPr>
          <w:rFonts w:eastAsia="Times New Roman" w:cs="Times New Roman"/>
          <w:i/>
          <w:iCs/>
          <w:szCs w:val="24"/>
        </w:rPr>
        <w:t>17</w:t>
      </w:r>
      <w:r w:rsidRPr="004E6237">
        <w:rPr>
          <w:rFonts w:eastAsia="Times New Roman" w:cs="Times New Roman"/>
          <w:szCs w:val="24"/>
        </w:rPr>
        <w:t>(4), 409-423.</w:t>
      </w:r>
    </w:p>
    <w:p w:rsidR="004E6237" w:rsidRPr="004E6237" w:rsidRDefault="004E6237" w:rsidP="004E6237">
      <w:pPr>
        <w:ind w:left="1440" w:hanging="720"/>
        <w:contextualSpacing/>
        <w:rPr>
          <w:rFonts w:eastAsia="Times New Roman" w:cs="Times New Roman"/>
          <w:szCs w:val="24"/>
        </w:rPr>
      </w:pPr>
      <w:r w:rsidRPr="004E6237">
        <w:rPr>
          <w:rFonts w:eastAsia="Times New Roman" w:cs="Times New Roman"/>
          <w:szCs w:val="24"/>
        </w:rPr>
        <w:t xml:space="preserve">Thompson, J. M., Irgens, L. M., Rasmussen, S., &amp; Daltveit, A. K. (2006). Secular trends in socio‐economic status and the implications for preterm birth. </w:t>
      </w:r>
      <w:r w:rsidRPr="004E6237">
        <w:rPr>
          <w:rFonts w:eastAsia="Times New Roman" w:cs="Times New Roman"/>
          <w:i/>
          <w:iCs/>
          <w:szCs w:val="24"/>
        </w:rPr>
        <w:t>Paediatric and perinatal epidemiology</w:t>
      </w:r>
      <w:r w:rsidRPr="004E6237">
        <w:rPr>
          <w:rFonts w:eastAsia="Times New Roman" w:cs="Times New Roman"/>
          <w:szCs w:val="24"/>
        </w:rPr>
        <w:t xml:space="preserve">, </w:t>
      </w:r>
      <w:r w:rsidRPr="004E6237">
        <w:rPr>
          <w:rFonts w:eastAsia="Times New Roman" w:cs="Times New Roman"/>
          <w:i/>
          <w:iCs/>
          <w:szCs w:val="24"/>
        </w:rPr>
        <w:t>20</w:t>
      </w:r>
      <w:r w:rsidRPr="004E6237">
        <w:rPr>
          <w:rFonts w:eastAsia="Times New Roman" w:cs="Times New Roman"/>
          <w:szCs w:val="24"/>
        </w:rPr>
        <w:t>(3), 182-187.</w:t>
      </w:r>
    </w:p>
    <w:p w:rsidR="00167530" w:rsidRPr="009C5263" w:rsidRDefault="009C5263" w:rsidP="004E6237">
      <w:pPr>
        <w:ind w:left="1440" w:hanging="720"/>
        <w:contextualSpacing/>
      </w:pPr>
      <w:r>
        <w:t xml:space="preserve">    </w:t>
      </w:r>
    </w:p>
    <w:sectPr w:rsidR="00167530" w:rsidRPr="009C5263" w:rsidSect="00877D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3D6C" w:rsidRDefault="001C3D6C" w:rsidP="00877DE4">
      <w:pPr>
        <w:spacing w:line="240" w:lineRule="auto"/>
      </w:pPr>
      <w:r>
        <w:separator/>
      </w:r>
    </w:p>
  </w:endnote>
  <w:endnote w:type="continuationSeparator" w:id="1">
    <w:p w:rsidR="001C3D6C" w:rsidRDefault="001C3D6C" w:rsidP="00877DE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3D6C" w:rsidRDefault="001C3D6C" w:rsidP="00877DE4">
      <w:pPr>
        <w:spacing w:line="240" w:lineRule="auto"/>
      </w:pPr>
      <w:r>
        <w:separator/>
      </w:r>
    </w:p>
  </w:footnote>
  <w:footnote w:type="continuationSeparator" w:id="1">
    <w:p w:rsidR="001C3D6C" w:rsidRDefault="001C3D6C" w:rsidP="00877DE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938955"/>
      <w:docPartObj>
        <w:docPartGallery w:val="Page Numbers (Top of Page)"/>
        <w:docPartUnique/>
      </w:docPartObj>
    </w:sdtPr>
    <w:sdtContent>
      <w:p w:rsidR="00877DE4" w:rsidRDefault="00877DE4">
        <w:pPr>
          <w:pStyle w:val="Header"/>
          <w:jc w:val="right"/>
        </w:pPr>
        <w:r>
          <w:t>COMPARISON BETWEEN SECULARISM AND RELIGION IN WOMEN</w:t>
        </w:r>
        <w:r>
          <w:tab/>
        </w:r>
        <w:fldSimple w:instr=" PAGE   \* MERGEFORMAT ">
          <w:r w:rsidR="00BD2D7B">
            <w:rPr>
              <w:noProof/>
            </w:rPr>
            <w:t>2</w:t>
          </w:r>
        </w:fldSimple>
      </w:p>
    </w:sdtContent>
  </w:sdt>
  <w:p w:rsidR="00877DE4" w:rsidRDefault="00877D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938882"/>
      <w:docPartObj>
        <w:docPartGallery w:val="Page Numbers (Top of Page)"/>
        <w:docPartUnique/>
      </w:docPartObj>
    </w:sdtPr>
    <w:sdtContent>
      <w:p w:rsidR="00877DE4" w:rsidRDefault="00877DE4">
        <w:pPr>
          <w:pStyle w:val="Header"/>
          <w:jc w:val="right"/>
        </w:pPr>
        <w:r>
          <w:t>Running head: COMPARISON BETWEEN SECULARLISM AND RELIGION IN WOMEN</w:t>
        </w:r>
        <w:r>
          <w:tab/>
        </w:r>
        <w:fldSimple w:instr=" PAGE   \* MERGEFORMAT ">
          <w:r w:rsidR="00BD2D7B">
            <w:rPr>
              <w:noProof/>
            </w:rPr>
            <w:t>1</w:t>
          </w:r>
        </w:fldSimple>
      </w:p>
    </w:sdtContent>
  </w:sdt>
  <w:p w:rsidR="00877DE4" w:rsidRDefault="00877DE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67530"/>
    <w:rsid w:val="00021C3D"/>
    <w:rsid w:val="0007142F"/>
    <w:rsid w:val="00081240"/>
    <w:rsid w:val="000B1377"/>
    <w:rsid w:val="000C5E01"/>
    <w:rsid w:val="001520CE"/>
    <w:rsid w:val="00167530"/>
    <w:rsid w:val="00185DC5"/>
    <w:rsid w:val="001B3DAA"/>
    <w:rsid w:val="001C3D6C"/>
    <w:rsid w:val="001C59C2"/>
    <w:rsid w:val="00212E93"/>
    <w:rsid w:val="00221D5F"/>
    <w:rsid w:val="002375B0"/>
    <w:rsid w:val="00264A0D"/>
    <w:rsid w:val="00290D98"/>
    <w:rsid w:val="0029485F"/>
    <w:rsid w:val="0033506B"/>
    <w:rsid w:val="00365221"/>
    <w:rsid w:val="004270E5"/>
    <w:rsid w:val="00444D44"/>
    <w:rsid w:val="00493F14"/>
    <w:rsid w:val="004E6237"/>
    <w:rsid w:val="005507D4"/>
    <w:rsid w:val="005B7330"/>
    <w:rsid w:val="005E5787"/>
    <w:rsid w:val="00601920"/>
    <w:rsid w:val="00613CF5"/>
    <w:rsid w:val="00642C8F"/>
    <w:rsid w:val="006C3DAD"/>
    <w:rsid w:val="006D62BF"/>
    <w:rsid w:val="006F0203"/>
    <w:rsid w:val="00760D1B"/>
    <w:rsid w:val="007C2D2E"/>
    <w:rsid w:val="00803EC4"/>
    <w:rsid w:val="00877DE4"/>
    <w:rsid w:val="008E4A28"/>
    <w:rsid w:val="009C5263"/>
    <w:rsid w:val="009D7EC0"/>
    <w:rsid w:val="00A52CF9"/>
    <w:rsid w:val="00AA0800"/>
    <w:rsid w:val="00B8016A"/>
    <w:rsid w:val="00BD2D7B"/>
    <w:rsid w:val="00BD712C"/>
    <w:rsid w:val="00BF3244"/>
    <w:rsid w:val="00C23FFD"/>
    <w:rsid w:val="00C251B9"/>
    <w:rsid w:val="00C93E36"/>
    <w:rsid w:val="00CA428A"/>
    <w:rsid w:val="00CA64C4"/>
    <w:rsid w:val="00D0219B"/>
    <w:rsid w:val="00D23EB6"/>
    <w:rsid w:val="00D41816"/>
    <w:rsid w:val="00D709A0"/>
    <w:rsid w:val="00D808C7"/>
    <w:rsid w:val="00E4222B"/>
    <w:rsid w:val="00E641F2"/>
    <w:rsid w:val="00E87E76"/>
    <w:rsid w:val="00F55E03"/>
    <w:rsid w:val="00F81272"/>
    <w:rsid w:val="00FC16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D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DE4"/>
    <w:pPr>
      <w:tabs>
        <w:tab w:val="center" w:pos="4680"/>
        <w:tab w:val="right" w:pos="9360"/>
      </w:tabs>
      <w:spacing w:line="240" w:lineRule="auto"/>
    </w:pPr>
  </w:style>
  <w:style w:type="character" w:customStyle="1" w:styleId="HeaderChar">
    <w:name w:val="Header Char"/>
    <w:basedOn w:val="DefaultParagraphFont"/>
    <w:link w:val="Header"/>
    <w:uiPriority w:val="99"/>
    <w:rsid w:val="00877DE4"/>
  </w:style>
  <w:style w:type="paragraph" w:styleId="Footer">
    <w:name w:val="footer"/>
    <w:basedOn w:val="Normal"/>
    <w:link w:val="FooterChar"/>
    <w:uiPriority w:val="99"/>
    <w:semiHidden/>
    <w:unhideWhenUsed/>
    <w:rsid w:val="00877DE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77DE4"/>
  </w:style>
</w:styles>
</file>

<file path=word/webSettings.xml><?xml version="1.0" encoding="utf-8"?>
<w:webSettings xmlns:r="http://schemas.openxmlformats.org/officeDocument/2006/relationships" xmlns:w="http://schemas.openxmlformats.org/wordprocessingml/2006/main">
  <w:divs>
    <w:div w:id="418142231">
      <w:bodyDiv w:val="1"/>
      <w:marLeft w:val="0"/>
      <w:marRight w:val="0"/>
      <w:marTop w:val="0"/>
      <w:marBottom w:val="0"/>
      <w:divBdr>
        <w:top w:val="none" w:sz="0" w:space="0" w:color="auto"/>
        <w:left w:val="none" w:sz="0" w:space="0" w:color="auto"/>
        <w:bottom w:val="none" w:sz="0" w:space="0" w:color="auto"/>
        <w:right w:val="none" w:sz="0" w:space="0" w:color="auto"/>
      </w:divBdr>
      <w:divsChild>
        <w:div w:id="163521259">
          <w:marLeft w:val="0"/>
          <w:marRight w:val="0"/>
          <w:marTop w:val="0"/>
          <w:marBottom w:val="0"/>
          <w:divBdr>
            <w:top w:val="none" w:sz="0" w:space="0" w:color="auto"/>
            <w:left w:val="none" w:sz="0" w:space="0" w:color="auto"/>
            <w:bottom w:val="none" w:sz="0" w:space="0" w:color="auto"/>
            <w:right w:val="none" w:sz="0" w:space="0" w:color="auto"/>
          </w:divBdr>
        </w:div>
      </w:divsChild>
    </w:div>
    <w:div w:id="679937446">
      <w:bodyDiv w:val="1"/>
      <w:marLeft w:val="0"/>
      <w:marRight w:val="0"/>
      <w:marTop w:val="0"/>
      <w:marBottom w:val="0"/>
      <w:divBdr>
        <w:top w:val="none" w:sz="0" w:space="0" w:color="auto"/>
        <w:left w:val="none" w:sz="0" w:space="0" w:color="auto"/>
        <w:bottom w:val="none" w:sz="0" w:space="0" w:color="auto"/>
        <w:right w:val="none" w:sz="0" w:space="0" w:color="auto"/>
      </w:divBdr>
      <w:divsChild>
        <w:div w:id="1234782284">
          <w:marLeft w:val="0"/>
          <w:marRight w:val="0"/>
          <w:marTop w:val="0"/>
          <w:marBottom w:val="0"/>
          <w:divBdr>
            <w:top w:val="none" w:sz="0" w:space="0" w:color="auto"/>
            <w:left w:val="none" w:sz="0" w:space="0" w:color="auto"/>
            <w:bottom w:val="none" w:sz="0" w:space="0" w:color="auto"/>
            <w:right w:val="none" w:sz="0" w:space="0" w:color="auto"/>
          </w:divBdr>
        </w:div>
      </w:divsChild>
    </w:div>
    <w:div w:id="767386061">
      <w:bodyDiv w:val="1"/>
      <w:marLeft w:val="0"/>
      <w:marRight w:val="0"/>
      <w:marTop w:val="0"/>
      <w:marBottom w:val="0"/>
      <w:divBdr>
        <w:top w:val="none" w:sz="0" w:space="0" w:color="auto"/>
        <w:left w:val="none" w:sz="0" w:space="0" w:color="auto"/>
        <w:bottom w:val="none" w:sz="0" w:space="0" w:color="auto"/>
        <w:right w:val="none" w:sz="0" w:space="0" w:color="auto"/>
      </w:divBdr>
      <w:divsChild>
        <w:div w:id="1265531120">
          <w:marLeft w:val="0"/>
          <w:marRight w:val="0"/>
          <w:marTop w:val="0"/>
          <w:marBottom w:val="0"/>
          <w:divBdr>
            <w:top w:val="none" w:sz="0" w:space="0" w:color="auto"/>
            <w:left w:val="none" w:sz="0" w:space="0" w:color="auto"/>
            <w:bottom w:val="none" w:sz="0" w:space="0" w:color="auto"/>
            <w:right w:val="none" w:sz="0" w:space="0" w:color="auto"/>
          </w:divBdr>
        </w:div>
      </w:divsChild>
    </w:div>
    <w:div w:id="800727802">
      <w:bodyDiv w:val="1"/>
      <w:marLeft w:val="0"/>
      <w:marRight w:val="0"/>
      <w:marTop w:val="0"/>
      <w:marBottom w:val="0"/>
      <w:divBdr>
        <w:top w:val="none" w:sz="0" w:space="0" w:color="auto"/>
        <w:left w:val="none" w:sz="0" w:space="0" w:color="auto"/>
        <w:bottom w:val="none" w:sz="0" w:space="0" w:color="auto"/>
        <w:right w:val="none" w:sz="0" w:space="0" w:color="auto"/>
      </w:divBdr>
      <w:divsChild>
        <w:div w:id="1958678166">
          <w:marLeft w:val="0"/>
          <w:marRight w:val="0"/>
          <w:marTop w:val="0"/>
          <w:marBottom w:val="0"/>
          <w:divBdr>
            <w:top w:val="none" w:sz="0" w:space="0" w:color="auto"/>
            <w:left w:val="none" w:sz="0" w:space="0" w:color="auto"/>
            <w:bottom w:val="none" w:sz="0" w:space="0" w:color="auto"/>
            <w:right w:val="none" w:sz="0" w:space="0" w:color="auto"/>
          </w:divBdr>
        </w:div>
      </w:divsChild>
    </w:div>
    <w:div w:id="1308120936">
      <w:bodyDiv w:val="1"/>
      <w:marLeft w:val="0"/>
      <w:marRight w:val="0"/>
      <w:marTop w:val="0"/>
      <w:marBottom w:val="0"/>
      <w:divBdr>
        <w:top w:val="none" w:sz="0" w:space="0" w:color="auto"/>
        <w:left w:val="none" w:sz="0" w:space="0" w:color="auto"/>
        <w:bottom w:val="none" w:sz="0" w:space="0" w:color="auto"/>
        <w:right w:val="none" w:sz="0" w:space="0" w:color="auto"/>
      </w:divBdr>
      <w:divsChild>
        <w:div w:id="1781144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6</Pages>
  <Words>1300</Words>
  <Characters>7411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72</cp:revision>
  <dcterms:created xsi:type="dcterms:W3CDTF">2019-04-07T12:03:00Z</dcterms:created>
  <dcterms:modified xsi:type="dcterms:W3CDTF">2019-04-09T09:51:00Z</dcterms:modified>
</cp:coreProperties>
</file>